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503" w:rsidRPr="000A4A64" w:rsidRDefault="000A4A64">
      <w:pPr>
        <w:pStyle w:val="Heading1"/>
        <w:rPr>
          <w:color w:val="auto"/>
          <w:sz w:val="24"/>
        </w:rPr>
      </w:pPr>
      <w:bookmarkStart w:id="0" w:name="_GoBack"/>
      <w:r w:rsidRPr="000A4A64">
        <w:rPr>
          <w:color w:val="auto"/>
          <w:sz w:val="24"/>
        </w:rPr>
        <w:t>Child Protection Policy – Iveson Primary School Holiday Club</w:t>
      </w:r>
    </w:p>
    <w:bookmarkEnd w:id="0"/>
    <w:p w:rsidR="002C4503" w:rsidRPr="000A4A64" w:rsidRDefault="002C4503">
      <w:pPr>
        <w:rPr>
          <w:sz w:val="20"/>
        </w:rPr>
      </w:pP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1. Purpose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 xml:space="preserve">This policy aims to promote a safe, secure, and inclusive environment for all children attending our Summer Holiday Club. It sets out </w:t>
      </w:r>
      <w:r w:rsidRPr="000A4A64">
        <w:rPr>
          <w:sz w:val="20"/>
        </w:rPr>
        <w:t>how we protect children from harm, abuse, and neglect while in our care.</w:t>
      </w: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2. Scope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>This policy applies to all staff, volunteers, and external providers working with the Summer Holiday Club.</w:t>
      </w: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3. Key Principles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>• The welfare of the child is paramount.</w:t>
      </w:r>
      <w:r w:rsidRPr="000A4A64">
        <w:rPr>
          <w:sz w:val="20"/>
        </w:rPr>
        <w:br/>
        <w:t xml:space="preserve">• All </w:t>
      </w:r>
      <w:r w:rsidRPr="000A4A64">
        <w:rPr>
          <w:sz w:val="20"/>
        </w:rPr>
        <w:t>children have the right to protection from abuse, neglect, exploitation, and discrimination.</w:t>
      </w:r>
      <w:r w:rsidRPr="000A4A64">
        <w:rPr>
          <w:sz w:val="20"/>
        </w:rPr>
        <w:br/>
        <w:t>• All suspicions and allegations of abuse will be taken seriously and responded to swiftly and appropriately.</w:t>
      </w:r>
      <w:r w:rsidRPr="000A4A64">
        <w:rPr>
          <w:sz w:val="20"/>
        </w:rPr>
        <w:br/>
        <w:t>• We are committed to working in partnership with chi</w:t>
      </w:r>
      <w:r w:rsidRPr="000A4A64">
        <w:rPr>
          <w:sz w:val="20"/>
        </w:rPr>
        <w:t>ldren, parents/</w:t>
      </w:r>
      <w:proofErr w:type="spellStart"/>
      <w:r w:rsidRPr="000A4A64">
        <w:rPr>
          <w:sz w:val="20"/>
        </w:rPr>
        <w:t>carers</w:t>
      </w:r>
      <w:proofErr w:type="spellEnd"/>
      <w:r w:rsidRPr="000A4A64">
        <w:rPr>
          <w:sz w:val="20"/>
        </w:rPr>
        <w:t>, and external agencies.</w:t>
      </w: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4. Definitions of Abuse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>Abuse may be:</w:t>
      </w:r>
      <w:r w:rsidRPr="000A4A64">
        <w:rPr>
          <w:sz w:val="20"/>
        </w:rPr>
        <w:br/>
      </w:r>
      <w:r w:rsidRPr="000A4A64">
        <w:rPr>
          <w:sz w:val="20"/>
        </w:rPr>
        <w:br/>
        <w:t>• Physical – hitting, shaking, throwing, poisoning, burning, etc.</w:t>
      </w:r>
      <w:r w:rsidRPr="000A4A64">
        <w:rPr>
          <w:sz w:val="20"/>
        </w:rPr>
        <w:br/>
        <w:t>• Emotional – threats, humiliation, criticism, lack of love/support.</w:t>
      </w:r>
      <w:r w:rsidRPr="000A4A64">
        <w:rPr>
          <w:sz w:val="20"/>
        </w:rPr>
        <w:br/>
        <w:t>• Sexual – forcing or enticing a ch</w:t>
      </w:r>
      <w:r w:rsidRPr="000A4A64">
        <w:rPr>
          <w:sz w:val="20"/>
        </w:rPr>
        <w:t>ild to take part in sexual activities.</w:t>
      </w:r>
      <w:r w:rsidRPr="000A4A64">
        <w:rPr>
          <w:sz w:val="20"/>
        </w:rPr>
        <w:br/>
        <w:t>• Neglect – persistent failure to meet a child’s basic physical and emotional needs.</w:t>
      </w: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5. Designated Safeguarding Lead (DSL)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 xml:space="preserve">Name: </w:t>
      </w:r>
      <w:r>
        <w:rPr>
          <w:sz w:val="20"/>
        </w:rPr>
        <w:t>Callum Hudson</w:t>
      </w:r>
      <w:r w:rsidRPr="000A4A64">
        <w:rPr>
          <w:sz w:val="20"/>
        </w:rPr>
        <w:br/>
        <w:t xml:space="preserve">Role: DSL </w:t>
      </w:r>
      <w:r>
        <w:rPr>
          <w:sz w:val="20"/>
        </w:rPr>
        <w:t>and Manager</w:t>
      </w:r>
      <w:r w:rsidRPr="000A4A64">
        <w:rPr>
          <w:sz w:val="20"/>
        </w:rPr>
        <w:br/>
        <w:t xml:space="preserve">Contact Info: </w:t>
      </w:r>
      <w:r>
        <w:rPr>
          <w:sz w:val="20"/>
        </w:rPr>
        <w:t>07740190259</w:t>
      </w:r>
      <w:r w:rsidRPr="000A4A64">
        <w:rPr>
          <w:sz w:val="20"/>
        </w:rPr>
        <w:br/>
      </w:r>
      <w:r w:rsidRPr="000A4A64">
        <w:rPr>
          <w:sz w:val="20"/>
        </w:rPr>
        <w:br/>
        <w:t>A D</w:t>
      </w:r>
      <w:r w:rsidRPr="000A4A64">
        <w:rPr>
          <w:sz w:val="20"/>
        </w:rPr>
        <w:t>eputy DSL will be appointed in the DSL’s absence.</w:t>
      </w: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6. Responsibilities of the DSL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>• Oversee safeguarding practices.</w:t>
      </w:r>
      <w:r w:rsidRPr="000A4A64">
        <w:rPr>
          <w:sz w:val="20"/>
        </w:rPr>
        <w:br/>
        <w:t>• Respond to disclosures or concerns.</w:t>
      </w:r>
      <w:r w:rsidRPr="000A4A64">
        <w:rPr>
          <w:sz w:val="20"/>
        </w:rPr>
        <w:br/>
        <w:t>• Liaise with children’s social care and other agencies.</w:t>
      </w:r>
      <w:r w:rsidRPr="000A4A64">
        <w:rPr>
          <w:sz w:val="20"/>
        </w:rPr>
        <w:br/>
        <w:t>• Maintain accurate records.</w:t>
      </w:r>
      <w:r w:rsidRPr="000A4A64">
        <w:rPr>
          <w:sz w:val="20"/>
        </w:rPr>
        <w:br/>
        <w:t>• Ensure staff r</w:t>
      </w:r>
      <w:r w:rsidRPr="000A4A64">
        <w:rPr>
          <w:sz w:val="20"/>
        </w:rPr>
        <w:t>eceive training and understand their responsibilities.</w:t>
      </w: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7. Staff &amp; Volunteer Expectations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>All staff and volunteers must:</w:t>
      </w:r>
      <w:r w:rsidRPr="000A4A64">
        <w:rPr>
          <w:sz w:val="20"/>
        </w:rPr>
        <w:br/>
        <w:t>• Undergo an enhanced DBS check.</w:t>
      </w:r>
      <w:r w:rsidRPr="000A4A64">
        <w:rPr>
          <w:sz w:val="20"/>
        </w:rPr>
        <w:br/>
        <w:t>• Complete safeguarding training.</w:t>
      </w:r>
      <w:r w:rsidRPr="000A4A64">
        <w:rPr>
          <w:sz w:val="20"/>
        </w:rPr>
        <w:br/>
        <w:t>• Treat children with respect and dignity.</w:t>
      </w:r>
      <w:r w:rsidRPr="000A4A64">
        <w:rPr>
          <w:sz w:val="20"/>
        </w:rPr>
        <w:br/>
        <w:t>• Report concerns immedia</w:t>
      </w:r>
      <w:r w:rsidRPr="000A4A64">
        <w:rPr>
          <w:sz w:val="20"/>
        </w:rPr>
        <w:t>tely to the DSL.</w:t>
      </w:r>
      <w:r w:rsidRPr="000A4A64">
        <w:rPr>
          <w:sz w:val="20"/>
        </w:rPr>
        <w:br/>
        <w:t>• Avoid inappropriate physical contact or communication.</w:t>
      </w:r>
      <w:r w:rsidRPr="000A4A64">
        <w:rPr>
          <w:sz w:val="20"/>
        </w:rPr>
        <w:br/>
        <w:t>• Follow the club’s code of conduct.</w:t>
      </w:r>
    </w:p>
    <w:p w:rsidR="002C4503" w:rsidRPr="000A4A64" w:rsidRDefault="002C4503">
      <w:pPr>
        <w:rPr>
          <w:sz w:val="20"/>
        </w:rPr>
      </w:pP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lastRenderedPageBreak/>
        <w:t>8. Procedures for Reporting Concerns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>1. Immediate Risk – Contact emergency services (999).</w:t>
      </w:r>
      <w:r w:rsidRPr="000A4A64">
        <w:rPr>
          <w:sz w:val="20"/>
        </w:rPr>
        <w:br/>
        <w:t>2. Concern or Disclosure:</w:t>
      </w:r>
      <w:r w:rsidRPr="000A4A64">
        <w:rPr>
          <w:sz w:val="20"/>
        </w:rPr>
        <w:br/>
        <w:t xml:space="preserve">   - Listen carefully; do n</w:t>
      </w:r>
      <w:r w:rsidRPr="000A4A64">
        <w:rPr>
          <w:sz w:val="20"/>
        </w:rPr>
        <w:t>ot promise confidentiality.</w:t>
      </w:r>
      <w:r w:rsidRPr="000A4A64">
        <w:rPr>
          <w:sz w:val="20"/>
        </w:rPr>
        <w:br/>
        <w:t xml:space="preserve">   - Report to the DSL as soon as possible.</w:t>
      </w:r>
      <w:r w:rsidRPr="000A4A64">
        <w:rPr>
          <w:sz w:val="20"/>
        </w:rPr>
        <w:br/>
        <w:t xml:space="preserve">   - Record the concern on the safeguarding form (date, time, facts).</w:t>
      </w:r>
      <w:r w:rsidRPr="000A4A64">
        <w:rPr>
          <w:sz w:val="20"/>
        </w:rPr>
        <w:br/>
        <w:t>3. DSL Response:</w:t>
      </w:r>
      <w:r w:rsidRPr="000A4A64">
        <w:rPr>
          <w:sz w:val="20"/>
        </w:rPr>
        <w:br/>
        <w:t xml:space="preserve">   - Assess the concern.</w:t>
      </w:r>
      <w:r w:rsidRPr="000A4A64">
        <w:rPr>
          <w:sz w:val="20"/>
        </w:rPr>
        <w:br/>
        <w:t xml:space="preserve">   - Consult with social care if needed.</w:t>
      </w:r>
      <w:r w:rsidRPr="000A4A64">
        <w:rPr>
          <w:sz w:val="20"/>
        </w:rPr>
        <w:br/>
        <w:t xml:space="preserve">   - Inform parents unless it p</w:t>
      </w:r>
      <w:r w:rsidRPr="000A4A64">
        <w:rPr>
          <w:sz w:val="20"/>
        </w:rPr>
        <w:t>uts the child at risk.</w:t>
      </w: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9. Safe Recruitment Practices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>• All staff and volunteers are interviewed and reference-checked.</w:t>
      </w:r>
      <w:r w:rsidRPr="000A4A64">
        <w:rPr>
          <w:sz w:val="20"/>
        </w:rPr>
        <w:br/>
        <w:t>• Enhanced DBS clearance is mandatory.</w:t>
      </w:r>
      <w:r w:rsidRPr="000A4A64">
        <w:rPr>
          <w:sz w:val="20"/>
        </w:rPr>
        <w:br/>
        <w:t>• Roles and responsibilities are clearly defined.</w:t>
      </w: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10. Code of Conduct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 xml:space="preserve">• Maintain appropriate </w:t>
      </w:r>
      <w:r w:rsidRPr="000A4A64">
        <w:rPr>
          <w:sz w:val="20"/>
        </w:rPr>
        <w:t>boundaries.</w:t>
      </w:r>
      <w:r w:rsidRPr="000A4A64">
        <w:rPr>
          <w:sz w:val="20"/>
        </w:rPr>
        <w:br/>
        <w:t>• Do not be alone with a child in private spaces.</w:t>
      </w:r>
      <w:r w:rsidRPr="000A4A64">
        <w:rPr>
          <w:sz w:val="20"/>
        </w:rPr>
        <w:br/>
        <w:t>• Use age-appropriate language and behaviour.</w:t>
      </w:r>
      <w:r w:rsidRPr="000A4A64">
        <w:rPr>
          <w:sz w:val="20"/>
        </w:rPr>
        <w:br/>
        <w:t xml:space="preserve">• Be a role model of positive </w:t>
      </w:r>
      <w:proofErr w:type="spellStart"/>
      <w:r w:rsidRPr="000A4A64">
        <w:rPr>
          <w:sz w:val="20"/>
        </w:rPr>
        <w:t>behaviour</w:t>
      </w:r>
      <w:proofErr w:type="spellEnd"/>
      <w:r w:rsidRPr="000A4A64">
        <w:rPr>
          <w:sz w:val="20"/>
        </w:rPr>
        <w:t xml:space="preserve"> and safety.</w:t>
      </w: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11. Online Safety (if applicable)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>• Devices must be filtered and supervised.</w:t>
      </w:r>
      <w:r w:rsidRPr="000A4A64">
        <w:rPr>
          <w:sz w:val="20"/>
        </w:rPr>
        <w:br/>
        <w:t>• Children are not</w:t>
      </w:r>
      <w:r w:rsidRPr="000A4A64">
        <w:rPr>
          <w:sz w:val="20"/>
        </w:rPr>
        <w:t xml:space="preserve"> allowed unsupervised internet access.</w:t>
      </w:r>
      <w:r w:rsidRPr="000A4A64">
        <w:rPr>
          <w:sz w:val="20"/>
        </w:rPr>
        <w:br/>
        <w:t>• Staff must never communicate with children via social media or personal messaging.</w:t>
      </w: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12. Record Keeping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>• All incidents, concerns, and actions are documented securely.</w:t>
      </w:r>
      <w:r w:rsidRPr="000A4A64">
        <w:rPr>
          <w:sz w:val="20"/>
        </w:rPr>
        <w:br/>
        <w:t>• Records are confidential and stored in accorda</w:t>
      </w:r>
      <w:r w:rsidRPr="000A4A64">
        <w:rPr>
          <w:sz w:val="20"/>
        </w:rPr>
        <w:t>nce with GDPR.</w:t>
      </w:r>
    </w:p>
    <w:p w:rsidR="002C4503" w:rsidRPr="000A4A64" w:rsidRDefault="000A4A64">
      <w:pPr>
        <w:pStyle w:val="Heading2"/>
        <w:rPr>
          <w:color w:val="auto"/>
          <w:sz w:val="24"/>
        </w:rPr>
      </w:pPr>
      <w:r w:rsidRPr="000A4A64">
        <w:rPr>
          <w:color w:val="auto"/>
          <w:sz w:val="24"/>
        </w:rPr>
        <w:t>13. Policy Review</w:t>
      </w:r>
    </w:p>
    <w:p w:rsidR="002C4503" w:rsidRPr="000A4A64" w:rsidRDefault="000A4A64">
      <w:pPr>
        <w:rPr>
          <w:sz w:val="20"/>
        </w:rPr>
      </w:pPr>
      <w:r w:rsidRPr="000A4A64">
        <w:rPr>
          <w:sz w:val="20"/>
        </w:rPr>
        <w:t>This policy will be reviewed annually or after any safeguarding incident, whichever is sooner.</w:t>
      </w:r>
    </w:p>
    <w:p w:rsidR="000A4A64" w:rsidRDefault="000A4A64" w:rsidP="000A4A64">
      <w:pPr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4"/>
        <w:gridCol w:w="4472"/>
      </w:tblGrid>
      <w:tr w:rsidR="000A4A64" w:rsidTr="00592540">
        <w:trPr>
          <w:trHeight w:val="466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0A4A64" w:rsidRPr="000A4A64" w:rsidRDefault="000A4A64" w:rsidP="00592540">
            <w:pPr>
              <w:rPr>
                <w:rFonts w:ascii="Trebuchet MS" w:hAnsi="Trebuchet MS" w:cs="Arial"/>
                <w:color w:val="0000FF"/>
              </w:rPr>
            </w:pPr>
            <w:r>
              <w:rPr>
                <w:rFonts w:ascii="Trebuchet MS" w:hAnsi="Trebuchet MS" w:cs="Arial"/>
              </w:rPr>
              <w:t xml:space="preserve">This policy was adopted by: </w:t>
            </w:r>
            <w:r>
              <w:rPr>
                <w:rFonts w:ascii="Trebuchet MS" w:hAnsi="Trebuchet MS"/>
              </w:rPr>
              <w:t>Iveson Primary School Holiday Club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0A4A64" w:rsidRDefault="000A4A64" w:rsidP="00592540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Date: 08/06/2025</w:t>
            </w:r>
          </w:p>
        </w:tc>
      </w:tr>
      <w:tr w:rsidR="000A4A64" w:rsidTr="00592540">
        <w:trPr>
          <w:trHeight w:val="455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:rsidR="000A4A64" w:rsidRPr="000A4A64" w:rsidRDefault="000A4A64" w:rsidP="00592540">
            <w:pPr>
              <w:rPr>
                <w:rFonts w:ascii="Trebuchet MS" w:hAnsi="Trebuchet MS" w:cs="Arial"/>
                <w:color w:val="0000FF"/>
              </w:rPr>
            </w:pPr>
            <w:r>
              <w:rPr>
                <w:rFonts w:ascii="Trebuchet MS" w:hAnsi="Trebuchet MS" w:cs="Arial"/>
              </w:rPr>
              <w:t>To be reviewed:08/06/2026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0A4A64" w:rsidRDefault="000A4A64" w:rsidP="00592540">
            <w:pPr>
              <w:rPr>
                <w:rFonts w:ascii="Trebuchet MS" w:hAnsi="Trebuchet MS" w:cs="Arial"/>
                <w:color w:val="0000FF"/>
              </w:rPr>
            </w:pPr>
            <w:r>
              <w:rPr>
                <w:rFonts w:ascii="Trebuchet MS" w:hAnsi="Trebuchet MS" w:cs="Arial"/>
              </w:rPr>
              <w:t>Signed: Callum Hudson</w:t>
            </w:r>
          </w:p>
        </w:tc>
      </w:tr>
    </w:tbl>
    <w:p w:rsidR="002C4503" w:rsidRPr="000A4A64" w:rsidRDefault="002C4503" w:rsidP="000A4A64">
      <w:pPr>
        <w:rPr>
          <w:sz w:val="20"/>
        </w:rPr>
      </w:pPr>
    </w:p>
    <w:sectPr w:rsidR="002C4503" w:rsidRPr="000A4A64" w:rsidSect="000A4A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A64"/>
    <w:rsid w:val="0015074B"/>
    <w:rsid w:val="0029639D"/>
    <w:rsid w:val="002C4503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9179B"/>
  <w14:defaultImageDpi w14:val="300"/>
  <w15:docId w15:val="{C01B03C2-DBE4-4DDD-953E-3C7D6DF4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BBCDFD-0895-43FF-991C-0A17B1C0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Callum Hudson</cp:lastModifiedBy>
  <cp:revision>2</cp:revision>
  <dcterms:created xsi:type="dcterms:W3CDTF">2025-06-18T21:56:00Z</dcterms:created>
  <dcterms:modified xsi:type="dcterms:W3CDTF">2025-06-18T21:56:00Z</dcterms:modified>
  <cp:category/>
</cp:coreProperties>
</file>